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0391" w14:textId="77777777" w:rsidR="00B93FED" w:rsidRDefault="00B93FED">
      <w:pPr>
        <w:spacing w:before="3000"/>
      </w:pPr>
    </w:p>
    <w:p w14:paraId="0134927E" w14:textId="77777777" w:rsidR="00B93FED" w:rsidRDefault="00000000">
      <w:pPr>
        <w:spacing w:after="200"/>
        <w:jc w:val="center"/>
      </w:pPr>
      <w:r>
        <w:rPr>
          <w:b/>
          <w:bCs/>
          <w:color w:val="1F4E79"/>
          <w:sz w:val="52"/>
          <w:szCs w:val="52"/>
        </w:rPr>
        <w:t>Η ΠΑΣΥΔΥ</w:t>
      </w:r>
    </w:p>
    <w:p w14:paraId="58E4A3D2" w14:textId="77777777" w:rsidR="00B93FED" w:rsidRDefault="00000000">
      <w:pPr>
        <w:spacing w:after="200"/>
        <w:jc w:val="center"/>
      </w:pPr>
      <w:r>
        <w:rPr>
          <w:b/>
          <w:bCs/>
          <w:color w:val="2E75B6"/>
          <w:sz w:val="40"/>
          <w:szCs w:val="40"/>
        </w:rPr>
        <w:t>ως «Κίτρινη Συντεχνία» (Yellow Union)</w:t>
      </w:r>
    </w:p>
    <w:p w14:paraId="566D8408" w14:textId="77777777" w:rsidR="00B93FED" w:rsidRDefault="00000000">
      <w:pPr>
        <w:pBdr>
          <w:top w:val="single" w:sz="4" w:space="8" w:color="2E75B6"/>
          <w:bottom w:val="single" w:sz="4" w:space="8" w:color="2E75B6"/>
        </w:pBdr>
        <w:spacing w:before="400" w:after="200"/>
        <w:jc w:val="center"/>
      </w:pPr>
      <w:r>
        <w:rPr>
          <w:color w:val="2E75B6"/>
        </w:rPr>
        <w:t>Οικονομική Εξάρτηση • Διοικητική Συγχώνευση • Εικονική Διαπραγμάτευση</w:t>
      </w:r>
    </w:p>
    <w:p w14:paraId="426F1CEB" w14:textId="77777777" w:rsidR="00B93FED" w:rsidRDefault="00000000">
      <w:pPr>
        <w:spacing w:before="600"/>
        <w:jc w:val="center"/>
      </w:pPr>
      <w:r>
        <w:rPr>
          <w:color w:val="888888"/>
        </w:rPr>
        <w:t>Ερευνητικό Άρθρο | Λευκωσία, Απρίλιος 2026</w:t>
      </w:r>
    </w:p>
    <w:p w14:paraId="3BB5406F" w14:textId="77777777" w:rsidR="00B93FED" w:rsidRDefault="00000000">
      <w:r>
        <w:br w:type="page"/>
      </w:r>
    </w:p>
    <w:p w14:paraId="3375ACBB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Εισαγωγή: Τι είναι η «Κίτρινη Συντεχνία»</w:t>
      </w:r>
    </w:p>
    <w:p w14:paraId="44704392" w14:textId="77777777" w:rsidR="00B93FED" w:rsidRDefault="00000000">
      <w:pPr>
        <w:spacing w:after="160" w:line="312" w:lineRule="auto"/>
        <w:jc w:val="both"/>
      </w:pPr>
      <w:r>
        <w:t xml:space="preserve">Στο διεθνές εργατικό δίκαιο, ο όρος </w:t>
      </w:r>
      <w:r>
        <w:rPr>
          <w:b/>
          <w:bCs/>
        </w:rPr>
        <w:t>«Κίτρινη Συντεχνία» (Yellow Union ή Company Union)</w:t>
      </w:r>
      <w:r>
        <w:t xml:space="preserve"> περιγράφει εργατική οργάνωση που ελέγχεται, χρηματοδοτείται ή κυριαρχείται από τον εργοδότη. Οι κίτρινες συντεχνίες απαγορεύονται ρητά από τις Συμβάσεις 98 και 151 του Διεθνούς Οργανισμού Εργασίας (ΔΟΕ), τις οποίες η Κυπριακή Δημοκρατία έχει κυρώσει.</w:t>
      </w:r>
    </w:p>
    <w:p w14:paraId="21DD1660" w14:textId="77777777" w:rsidR="00B93FED" w:rsidRDefault="00000000">
      <w:pPr>
        <w:spacing w:after="160" w:line="312" w:lineRule="auto"/>
        <w:jc w:val="both"/>
      </w:pPr>
      <w:r>
        <w:t xml:space="preserve">Η παρούσα έρευνα τεκμηριώνει ότι η Παγκύπρια Συντεχνία Δημοσίων Υπαλλήλων (ΠΑΣΥΔΥ) συγκεντρώνει </w:t>
      </w:r>
      <w:r>
        <w:rPr>
          <w:b/>
          <w:bCs/>
        </w:rPr>
        <w:t>αθροιστικά</w:t>
      </w:r>
      <w:r>
        <w:t xml:space="preserve"> τα τρία θεμελιώδη χαρακτηριστικά: οικονομική εξάρτηση, διοικητική συγχώνευση εργοδότη-εργαζομένου, και εικονικότητα συλλογικών διαπραγματεύσεων.</w:t>
      </w:r>
    </w:p>
    <w:p w14:paraId="39B02EA7" w14:textId="77777777" w:rsidR="00B93FED" w:rsidRDefault="00000000">
      <w:r>
        <w:br w:type="page"/>
      </w:r>
    </w:p>
    <w:p w14:paraId="36FA84FA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ΜΕΡΟΣ Α΄: Κρατική Χρηματοδότηση — Η Στρόφιγγα του Ενός Εκατομμυρίου</w:t>
      </w:r>
    </w:p>
    <w:p w14:paraId="43CC2929" w14:textId="77777777" w:rsidR="00B93FED" w:rsidRDefault="00000000">
      <w:pPr>
        <w:pStyle w:val="Heading2"/>
      </w:pPr>
      <w:r>
        <w:t>Το πραγματικό ζήτημα</w:t>
      </w:r>
    </w:p>
    <w:p w14:paraId="0A53E888" w14:textId="77777777" w:rsidR="00B93FED" w:rsidRDefault="00000000">
      <w:pPr>
        <w:spacing w:after="160" w:line="312" w:lineRule="auto"/>
        <w:jc w:val="both"/>
      </w:pPr>
      <w:r>
        <w:t>Το Υπουργείο Οικονομικών — ο θεσμικός εργοδότης όλων των δημοσίων υπαλλήλων — καταβάλλει ετησίως εκατοντάδες χιλιάδες ευρώ στην ΠΑΣΥΔΥ μέσω του Κρατικού Προϋπολογισμού (Άρθρο 0401200092). Το 2025: €1.090.000.</w:t>
      </w:r>
    </w:p>
    <w:p w14:paraId="500C6CB1" w14:textId="77777777" w:rsidR="00B93FED" w:rsidRDefault="00000000">
      <w:pPr>
        <w:pStyle w:val="Heading2"/>
      </w:pPr>
      <w:r>
        <w:t>Τα αριθμητικά δεδομένα</w:t>
      </w:r>
    </w:p>
    <w:p w14:paraId="07B2A07D" w14:textId="77777777" w:rsidR="00B93FED" w:rsidRDefault="00000000">
      <w:pPr>
        <w:spacing w:after="160" w:line="312" w:lineRule="auto"/>
        <w:jc w:val="both"/>
      </w:pPr>
      <w:r>
        <w:t>Πηγή: Καταστάσεις Πληρωμών Χορηγιών του Γενικού Λογιστηρίου. Δημοσιοποίηση βάσει του περί της Λογιστικής και Δημοσιονομικής Διαχείρισης Νόμου (Ν. 38(I)/2014), Άρθρο 25(γ):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200"/>
        <w:gridCol w:w="2813"/>
        <w:gridCol w:w="2813"/>
      </w:tblGrid>
      <w:tr w:rsidR="00B93FED" w14:paraId="5409DAA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39B3F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Έτος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7B6CC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Ποσό (€)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C9411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Μεταβολή (€)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90FA4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Μεταβολή (%)</w:t>
            </w:r>
          </w:p>
        </w:tc>
      </w:tr>
      <w:tr w:rsidR="00B93FED" w14:paraId="584A0C2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5E481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2017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BE64D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F1614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—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ECBB8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—</w:t>
            </w:r>
          </w:p>
        </w:tc>
      </w:tr>
      <w:tr w:rsidR="00B93FED" w14:paraId="166510A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080B2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2018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5FF50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060F3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42FA8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0,00%</w:t>
            </w:r>
          </w:p>
        </w:tc>
      </w:tr>
      <w:tr w:rsidR="00B93FED" w14:paraId="436486F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CC197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B9F6A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F6C03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FAC5E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0,00%</w:t>
            </w:r>
          </w:p>
        </w:tc>
      </w:tr>
      <w:tr w:rsidR="00B93FED" w14:paraId="7D79203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A6C1B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1E806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F326F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E874C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0,00%</w:t>
            </w:r>
          </w:p>
        </w:tc>
      </w:tr>
      <w:tr w:rsidR="00B93FED" w14:paraId="2DCC72E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59AE6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436F4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D20D5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15E52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0,00%</w:t>
            </w:r>
          </w:p>
        </w:tc>
      </w:tr>
      <w:tr w:rsidR="00B93FED" w14:paraId="17580B3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1500E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8E2C9" w14:textId="77777777" w:rsidR="00B93FED" w:rsidRDefault="00000000">
            <w:r>
              <w:rPr>
                <w:b/>
                <w:bCs/>
                <w:sz w:val="19"/>
                <w:szCs w:val="19"/>
              </w:rPr>
              <w:t>€990.000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0E741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+100.000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45EDD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+11,24%</w:t>
            </w:r>
          </w:p>
        </w:tc>
      </w:tr>
      <w:tr w:rsidR="00B93FED" w14:paraId="05257C3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423E4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1978D" w14:textId="77777777" w:rsidR="00B93FED" w:rsidRDefault="00000000">
            <w:r>
              <w:rPr>
                <w:b/>
                <w:bCs/>
                <w:sz w:val="19"/>
                <w:szCs w:val="19"/>
              </w:rPr>
              <w:t>€990.000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FDF21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FC5D5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0,00%</w:t>
            </w:r>
          </w:p>
        </w:tc>
      </w:tr>
      <w:tr w:rsidR="00B93FED" w14:paraId="4E16172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AD29A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E0D26" w14:textId="77777777" w:rsidR="00B93FED" w:rsidRDefault="00000000">
            <w:r>
              <w:rPr>
                <w:b/>
                <w:bCs/>
                <w:sz w:val="19"/>
                <w:szCs w:val="19"/>
              </w:rPr>
              <w:t>€890.000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B5547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–100.000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362E8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–10,10%</w:t>
            </w:r>
          </w:p>
        </w:tc>
      </w:tr>
      <w:tr w:rsidR="00B93FED" w14:paraId="0D73AEE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307D6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2025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08052" w14:textId="77777777" w:rsidR="00B93FED" w:rsidRDefault="00000000">
            <w:r>
              <w:rPr>
                <w:b/>
                <w:bCs/>
                <w:color w:val="C00000"/>
                <w:sz w:val="19"/>
                <w:szCs w:val="19"/>
              </w:rPr>
              <w:t>€1.090.000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7B2FD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+200.000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A6EA5" w14:textId="77777777" w:rsidR="00B93FED" w:rsidRDefault="00000000">
            <w:pPr>
              <w:jc w:val="center"/>
            </w:pPr>
            <w:r>
              <w:rPr>
                <w:sz w:val="19"/>
                <w:szCs w:val="19"/>
              </w:rPr>
              <w:t>+22,47%</w:t>
            </w:r>
          </w:p>
        </w:tc>
      </w:tr>
      <w:tr w:rsidR="00B93FED" w14:paraId="162CC1D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86F50" w14:textId="77777777" w:rsidR="00B93FED" w:rsidRDefault="00000000">
            <w:r>
              <w:rPr>
                <w:b/>
                <w:bCs/>
                <w:sz w:val="19"/>
                <w:szCs w:val="19"/>
              </w:rPr>
              <w:t>Σύνολο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322C9" w14:textId="77777777" w:rsidR="00B93FED" w:rsidRDefault="00000000">
            <w:r>
              <w:rPr>
                <w:b/>
                <w:bCs/>
                <w:color w:val="C00000"/>
                <w:sz w:val="19"/>
                <w:szCs w:val="19"/>
              </w:rPr>
              <w:t>€8.410.000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A40E1" w14:textId="77777777" w:rsidR="00B93FED" w:rsidRDefault="00000000">
            <w:r>
              <w:rPr>
                <w:b/>
                <w:bCs/>
                <w:sz w:val="19"/>
                <w:szCs w:val="19"/>
              </w:rPr>
              <w:t>M.O. €934.444/έτος</w:t>
            </w:r>
          </w:p>
        </w:tc>
        <w:tc>
          <w:tcPr>
            <w:tcW w:w="2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7B2A2" w14:textId="77777777" w:rsidR="00B93FED" w:rsidRDefault="00000000">
            <w:r>
              <w:rPr>
                <w:sz w:val="19"/>
                <w:szCs w:val="19"/>
              </w:rPr>
              <w:t>9 έτη</w:t>
            </w:r>
          </w:p>
        </w:tc>
      </w:tr>
    </w:tbl>
    <w:p w14:paraId="4E15893C" w14:textId="77777777" w:rsidR="00B93FED" w:rsidRDefault="00000000">
      <w:pPr>
        <w:spacing w:after="160" w:line="312" w:lineRule="auto"/>
        <w:jc w:val="both"/>
      </w:pPr>
      <w:r>
        <w:t>Σταθερό €890.000 επί 5 έτη (2017–2021), αύξηση σε €990.000 (2022–2023), επιστροφή σε €890.000 (2024), εκτόξευση σε €1.090.000 (2025) — +22,47%. Συνολικά: €8.410.000.</w:t>
      </w:r>
    </w:p>
    <w:p w14:paraId="2B3E8FC0" w14:textId="77777777" w:rsidR="00B93FED" w:rsidRDefault="00000000">
      <w:pPr>
        <w:pStyle w:val="Heading2"/>
      </w:pPr>
      <w:r>
        <w:t>Τι λέει το Διεθνές Δίκαιο</w:t>
      </w:r>
    </w:p>
    <w:p w14:paraId="1A1D8122" w14:textId="77777777" w:rsidR="00B93FED" w:rsidRDefault="00000000">
      <w:pPr>
        <w:spacing w:after="160" w:line="312" w:lineRule="auto"/>
        <w:jc w:val="both"/>
      </w:pPr>
      <w:r>
        <w:t xml:space="preserve">Η Σύμβαση ΔΟΕ 151, Άρθρο 5§3, ορίζει ότι πράξεις υποστήριξης «με οικονομικά ή άλλα μέσα» </w:t>
      </w:r>
      <w:r>
        <w:rPr>
          <w:b/>
          <w:bCs/>
          <w:i/>
          <w:iCs/>
        </w:rPr>
        <w:t>«θεωρούνται πράξεις ανάμειξης»</w:t>
      </w:r>
      <w:r>
        <w:t>. Πανομοιότυπη η ρύθμιση του Άρθρου 2§2 της Σύμβασης 98.</w:t>
      </w:r>
    </w:p>
    <w:p w14:paraId="78EFBAA8" w14:textId="77777777" w:rsidR="00B93FED" w:rsidRDefault="00000000">
      <w:pPr>
        <w:spacing w:after="160" w:line="312" w:lineRule="auto"/>
        <w:jc w:val="both"/>
      </w:pPr>
      <w:r>
        <w:t>Η Επιτροπή Ελευθερίας Συνεταιρίζεσθαι (CFA) του ΔΟΕ:</w:t>
      </w:r>
    </w:p>
    <w:p w14:paraId="1FD8BFE9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§680 (σελ.134): «Οι εργατικές οργανώσεις δεν πρέπει να χρηματοδοτούνται κατά τρόπο που να επιτρέπει στις δημόσιες αρχές να απολαμβάνουν διακριτικές εξουσίες επ' αυτών.»</w:t>
      </w:r>
    </w:p>
    <w:p w14:paraId="5947114E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§681 (σελ.134): «Οποιαδήποτε μορφή κρατικού ελέγχου είναι ασύμβατη με την ελευθερία του συνεταιρίζεσθαι και πρέπει να καταργηθεί.»</w:t>
      </w:r>
    </w:p>
    <w:p w14:paraId="166FB801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§686 (σελ.128): «Οι επιπτώσεις της οικονομικής ενίσχυσης εξαρτώνται από το αν παρέχονται βάσει νόμου ή κατά τη διακριτική ευχέρεια δημόσιας αρχής.»</w:t>
      </w:r>
    </w:p>
    <w:p w14:paraId="56F2A999" w14:textId="77777777" w:rsidR="00B93FED" w:rsidRDefault="00000000">
      <w:pPr>
        <w:spacing w:after="160" w:line="312" w:lineRule="auto"/>
        <w:jc w:val="both"/>
      </w:pPr>
      <w:r>
        <w:lastRenderedPageBreak/>
        <w:t>Η Επιτροπή Εμπειρογνωμόνων (CEACR) του ΔΟΕ έχει ήδη προειδοποιήσει ρητά την Κύπρο ότι η νομοθεσία δεν εξασφαλίζει επαρκή προστασία έναντι πράξεων ανάμειξης.</w:t>
      </w:r>
    </w:p>
    <w:p w14:paraId="36612501" w14:textId="77777777" w:rsidR="00B93FED" w:rsidRDefault="00000000">
      <w:pPr>
        <w:pStyle w:val="Heading2"/>
      </w:pPr>
      <w:r>
        <w:t>Ο Ν. 38(I)/2014 επιβεβαιώνει τη «διακριτική εξουσία»</w:t>
      </w:r>
    </w:p>
    <w:p w14:paraId="47D569B6" w14:textId="77777777" w:rsidR="00B93FED" w:rsidRDefault="00000000">
      <w:pPr>
        <w:spacing w:after="160" w:line="312" w:lineRule="auto"/>
        <w:jc w:val="both"/>
      </w:pPr>
      <w:r>
        <w:t xml:space="preserve">Το Άρθρο 28 του περί της Λογιστικής και Δημοσιονομικής Διαχείρισης Νόμου (Ν. 38(I)/2014) δίνει στον ελέγχοντα λειτουργό (το κράτος-εργοδότη) εξουσία </w:t>
      </w:r>
      <w:r>
        <w:rPr>
          <w:b/>
          <w:bCs/>
        </w:rPr>
        <w:t>αναστολής ή διακοπής χορηγίας</w:t>
      </w:r>
      <w:r>
        <w:t>. Το Άρθρο 25(α) απαιτεί «διαφάνεια και ίση μεταχείριση» — αρχή που καταστρατηγείται με μονομερή επιχορήγηση μίας μόνο συντεχνίας.</w:t>
      </w:r>
    </w:p>
    <w:p w14:paraId="6145367E" w14:textId="77777777" w:rsidR="00B93FED" w:rsidRDefault="00000000">
      <w:pPr>
        <w:pStyle w:val="Heading2"/>
      </w:pPr>
      <w:r>
        <w:t>Συγκριτικό Δίκαιο</w:t>
      </w:r>
    </w:p>
    <w:p w14:paraId="374875A3" w14:textId="77777777" w:rsidR="00B93FED" w:rsidRDefault="00000000">
      <w:pPr>
        <w:spacing w:after="160" w:line="312" w:lineRule="auto"/>
        <w:jc w:val="both"/>
      </w:pPr>
      <w:r>
        <w:t>Στο Ηνωμένο Βασίλειο (TULRCA, Section 5) χάνεται το Πιστοποιητικό Ανεξαρτησίας. Στη Γαλλία, αντικειμενικό κοινό ταμείο. Στη Γερμανία, αποκλειστικά εισφορές μελών.</w:t>
      </w:r>
    </w:p>
    <w:p w14:paraId="71D5BD56" w14:textId="77777777" w:rsidR="00B93FED" w:rsidRDefault="00000000">
      <w:r>
        <w:br w:type="page"/>
      </w:r>
    </w:p>
    <w:p w14:paraId="2FCD8541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ΜΕΡΟΣ Β΄: Οι Γενικοί Διευθυντές — Ο Εργοδότης μέσα στο Συνδικάτο</w:t>
      </w:r>
    </w:p>
    <w:p w14:paraId="7A7DCF93" w14:textId="77777777" w:rsidR="00B93FED" w:rsidRDefault="00000000">
      <w:pPr>
        <w:spacing w:after="160" w:line="312" w:lineRule="auto"/>
        <w:jc w:val="both"/>
      </w:pPr>
      <w:r>
        <w:t>Η ΠΑΣΥΔΥ διατηρεί ενεργό «Κλάδο Γενικών Διευθυντών» (59ο Συνέδριο, 2022). Ανώτατα διοικητικά στελέχη που ασκούν εποπτεία, αξιολόγηση, πειθαρχική δίωξη και προαγωγές.</w:t>
      </w:r>
    </w:p>
    <w:p w14:paraId="479126C0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§1213 (σελ.229): «Μέλος κυβέρνησης που είναι ταυτόχρονα ηγέτης συντεχνίας δημιουργεί πιθανότητα ανάμειξης κατά παράβαση του Άρθρου 2 της Σύμβασης 98.»</w:t>
      </w:r>
    </w:p>
    <w:p w14:paraId="26886067" w14:textId="77777777" w:rsidR="00B93FED" w:rsidRDefault="00000000">
      <w:pPr>
        <w:spacing w:after="160" w:line="312" w:lineRule="auto"/>
        <w:jc w:val="both"/>
      </w:pPr>
      <w:r>
        <w:t xml:space="preserve">Νομολογία </w:t>
      </w:r>
      <w:r>
        <w:rPr>
          <w:b/>
          <w:bCs/>
          <w:i/>
          <w:iCs/>
        </w:rPr>
        <w:t>NLRB v. Yeshiva University</w:t>
      </w:r>
      <w:r>
        <w:t xml:space="preserve"> (Ανώτατο Δικαστήριο ΗΠΑ, 444 U.S. 672, 1980): αποκλεισμός managerial employees. </w:t>
      </w:r>
      <w:r>
        <w:rPr>
          <w:b/>
          <w:bCs/>
          <w:i/>
          <w:iCs/>
        </w:rPr>
        <w:t>Straume κατά Λετονίας</w:t>
      </w:r>
      <w:r>
        <w:t xml:space="preserve"> (Ευρωπαϊκό Δικαστήριο Δικαιωμάτων του Ανθρώπου (ΕΔΔΑ), App. No. 59402/14, 2022): ακόμη και ελάχιστες κυρώσεις αποθαρρύνουν τα μέλη.</w:t>
      </w:r>
    </w:p>
    <w:p w14:paraId="58E7224A" w14:textId="77777777" w:rsidR="00B93FED" w:rsidRDefault="00000000">
      <w:pPr>
        <w:spacing w:after="160" w:line="312" w:lineRule="auto"/>
        <w:jc w:val="both"/>
      </w:pPr>
      <w:r>
        <w:rPr>
          <w:b/>
          <w:bCs/>
        </w:rPr>
        <w:t>Γερμανία (BetrVG §5(3)):</w:t>
      </w:r>
      <w:r>
        <w:t xml:space="preserve"> αποκλεισμός leitende Angestellte. </w:t>
      </w:r>
      <w:r>
        <w:rPr>
          <w:b/>
          <w:bCs/>
        </w:rPr>
        <w:t>Λετονία:</w:t>
      </w:r>
      <w:r>
        <w:t xml:space="preserve"> ρητή απαγόρευση. </w:t>
      </w:r>
      <w:r>
        <w:rPr>
          <w:b/>
          <w:bCs/>
        </w:rPr>
        <w:t>Γαλλία (CFE-CGC):</w:t>
      </w:r>
      <w:r>
        <w:t xml:space="preserve"> πλήρης διαχωρισμός.</w:t>
      </w:r>
    </w:p>
    <w:p w14:paraId="361B46AD" w14:textId="77777777" w:rsidR="00B93FED" w:rsidRDefault="00000000">
      <w:r>
        <w:br w:type="page"/>
      </w:r>
    </w:p>
    <w:p w14:paraId="4F7333DD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ΜΕΡΟΣ Γ΄: Η Μικτή Επιτροπή Προσωπικού (ΜΕΠ) — Εικονική Διαπραγμάτευση</w:t>
      </w:r>
    </w:p>
    <w:p w14:paraId="11997709" w14:textId="77777777" w:rsidR="00B93FED" w:rsidRDefault="00000000">
      <w:pPr>
        <w:spacing w:after="160" w:line="312" w:lineRule="auto"/>
        <w:jc w:val="both"/>
      </w:pPr>
      <w:r>
        <w:rPr>
          <w:b/>
          <w:bCs/>
        </w:rPr>
        <w:t xml:space="preserve">Εργοδοτική πλευρά: </w:t>
      </w:r>
      <w:r>
        <w:t xml:space="preserve">Γεν. Δ/ντής ΥΠΟΙΚ (μέλος ΠΑΣΥΔΥ). </w:t>
      </w:r>
      <w:r>
        <w:rPr>
          <w:b/>
          <w:bCs/>
        </w:rPr>
        <w:t xml:space="preserve">Εργατική: </w:t>
      </w:r>
      <w:r>
        <w:t xml:space="preserve">ΠΑΣΥΔΥ. </w:t>
      </w:r>
      <w:r>
        <w:rPr>
          <w:b/>
          <w:bCs/>
          <w:color w:val="C00000"/>
        </w:rPr>
        <w:t>Η ίδια οργάνωση και στις δύο πλευρές.</w:t>
      </w:r>
    </w:p>
    <w:p w14:paraId="47784E44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§1214 (σελ.229): «Οι διαπραγματεύσεις δεν πρέπει να διεξάγονται από αντιπροσώπους υπό την κυριαρχία εργοδοτών.»</w:t>
      </w:r>
    </w:p>
    <w:p w14:paraId="6D5F50CE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CFA §1215 (σελ.229): «Σημασία προστασίας έναντι πράξεων ανάμειξης για προώθηση οργανώσεων υπό κυριαρχία εργοδότη.»</w:t>
      </w:r>
    </w:p>
    <w:p w14:paraId="7CABE153" w14:textId="77777777" w:rsidR="00B93FED" w:rsidRDefault="00000000">
      <w:pPr>
        <w:pStyle w:val="Heading2"/>
      </w:pPr>
      <w:r>
        <w:t>Η απόφαση-ορόσημο: Παγκύπρια Συντεχνία Νοσοκόμων (ΠΑΣΥΝΟ) κατά Κ.Δ. (1994)</w:t>
      </w:r>
    </w:p>
    <w:p w14:paraId="68F01BF8" w14:textId="77777777" w:rsidR="00B93FED" w:rsidRDefault="00000000">
      <w:pPr>
        <w:spacing w:after="160" w:line="312" w:lineRule="auto"/>
        <w:jc w:val="both"/>
      </w:pPr>
      <w:r>
        <w:t>Ανώτατο Δικαστήριο Κύπρου, Δικαστής Γ. Π. Στυλιανίδης, 4 ΑΑΔ 174:</w:t>
      </w:r>
    </w:p>
    <w:p w14:paraId="5E6DEBCF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«Η ίδρυση ενιαίου και υποχρεωτικού σωματείου είναι αντίθετη με τη θετική ελευθερία του συνεταιρίζεσθαι.» — 4 ΑΑΔ 174</w:t>
      </w:r>
    </w:p>
    <w:p w14:paraId="39FC4190" w14:textId="77777777" w:rsidR="00B93FED" w:rsidRDefault="00000000">
      <w:pPr>
        <w:pBdr>
          <w:left w:val="single" w:sz="12" w:space="8" w:color="2E75B6"/>
        </w:pBdr>
        <w:shd w:val="clear" w:color="auto" w:fill="F2F7FC"/>
        <w:spacing w:before="120" w:after="160" w:line="300" w:lineRule="auto"/>
        <w:ind w:left="480" w:right="480"/>
      </w:pPr>
      <w:r>
        <w:rPr>
          <w:i/>
          <w:iCs/>
          <w:color w:val="444444"/>
          <w:sz w:val="21"/>
          <w:szCs w:val="21"/>
        </w:rPr>
        <w:t>«Η άρνηση διαπραγμάτευσης με άλλους πλην της ΠΑΣΥΔΥ υποβάλλει, με τρόπο που αγγίζει τα όρια του εξαναγκασμού, στα μέλη να εγκαταλείψουν τη δική τους οργάνωση.» — 4 ΑΑΔ 174</w:t>
      </w:r>
    </w:p>
    <w:p w14:paraId="1D6BF13B" w14:textId="77777777" w:rsidR="00B93FED" w:rsidRDefault="00000000">
      <w:r>
        <w:br w:type="page"/>
      </w:r>
    </w:p>
    <w:p w14:paraId="51121596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ΣΥΝΘΕΣΗ</w:t>
      </w:r>
    </w:p>
    <w:p w14:paraId="3DD2FB53" w14:textId="77777777" w:rsidR="00B93FED" w:rsidRDefault="00000000">
      <w:pPr>
        <w:spacing w:after="160" w:line="312" w:lineRule="auto"/>
        <w:jc w:val="both"/>
      </w:pPr>
      <w:r>
        <w:t xml:space="preserve">Η ΠΑΣΥΔΥ πληροί </w:t>
      </w:r>
      <w:r>
        <w:rPr>
          <w:b/>
          <w:bCs/>
        </w:rPr>
        <w:t>και τα τρία αθροιστικά</w:t>
      </w:r>
      <w:r>
        <w:t xml:space="preserve"> κριτήρια Κίτρινης Συντεχνίας:</w:t>
      </w:r>
    </w:p>
    <w:p w14:paraId="62008534" w14:textId="77777777" w:rsidR="00B93FED" w:rsidRDefault="00000000">
      <w:pPr>
        <w:pStyle w:val="ListParagraph"/>
        <w:numPr>
          <w:ilvl w:val="0"/>
          <w:numId w:val="2"/>
        </w:numPr>
        <w:spacing w:after="120" w:line="312" w:lineRule="auto"/>
      </w:pPr>
      <w:r>
        <w:rPr>
          <w:b/>
          <w:bCs/>
        </w:rPr>
        <w:t xml:space="preserve">Οικονομική εξάρτηση: </w:t>
      </w:r>
      <w:r>
        <w:t>€8.410.000 σε 9 χρόνια, με εξουσία αναστολής/διακοπής (Ν.38(I)/2014, Αρ.28) [Σ.151 Αρ.5§3 · Σ.98 Αρ.2§2 · CFA §§680–682, 686].</w:t>
      </w:r>
    </w:p>
    <w:p w14:paraId="490304DD" w14:textId="77777777" w:rsidR="00B93FED" w:rsidRDefault="00000000">
      <w:pPr>
        <w:pStyle w:val="ListParagraph"/>
        <w:numPr>
          <w:ilvl w:val="0"/>
          <w:numId w:val="2"/>
        </w:numPr>
        <w:spacing w:after="120" w:line="312" w:lineRule="auto"/>
      </w:pPr>
      <w:r>
        <w:rPr>
          <w:b/>
          <w:bCs/>
        </w:rPr>
        <w:t xml:space="preserve">Διοικητική συγχώνευση: </w:t>
      </w:r>
      <w:r>
        <w:t>Κλάδος Γεν. Διευθυντών εντός συντεχνίας [CFA §§1192, 1213 · Yeshiva · Straume · BetrVG §5(3)].</w:t>
      </w:r>
    </w:p>
    <w:p w14:paraId="13DE7E7C" w14:textId="77777777" w:rsidR="00B93FED" w:rsidRDefault="00000000">
      <w:pPr>
        <w:pStyle w:val="ListParagraph"/>
        <w:numPr>
          <w:ilvl w:val="0"/>
          <w:numId w:val="2"/>
        </w:numPr>
        <w:spacing w:after="120" w:line="312" w:lineRule="auto"/>
      </w:pPr>
      <w:r>
        <w:rPr>
          <w:b/>
          <w:bCs/>
        </w:rPr>
        <w:t xml:space="preserve">Εικονική ΜΕΠ: </w:t>
      </w:r>
      <w:r>
        <w:t>Ίδια οργάνωση και στις δύο πλευρές [CFA §§1214–1215 · Σ.98 Αρ.4 · ΠΑΣΥΝΟ 1994, 4 ΑΑΔ 174].</w:t>
      </w:r>
    </w:p>
    <w:p w14:paraId="59A7199C" w14:textId="77777777" w:rsidR="00B93FED" w:rsidRDefault="00000000">
      <w:pPr>
        <w:spacing w:after="160" w:line="312" w:lineRule="auto"/>
        <w:jc w:val="both"/>
      </w:pPr>
      <w:r>
        <w:t xml:space="preserve">Ο χαρακτηρισμός αποτελεί </w:t>
      </w:r>
      <w:r>
        <w:rPr>
          <w:b/>
          <w:bCs/>
        </w:rPr>
        <w:t>νομικό συμπέρασμα</w:t>
      </w:r>
      <w:r>
        <w:t>, όχι ρητορικό σχήμα.</w:t>
      </w:r>
    </w:p>
    <w:p w14:paraId="446719E7" w14:textId="77777777" w:rsidR="00B93FED" w:rsidRDefault="00000000">
      <w:r>
        <w:br w:type="page"/>
      </w:r>
    </w:p>
    <w:p w14:paraId="4259924D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Πηγές και Παραπομπές</w:t>
      </w:r>
    </w:p>
    <w:p w14:paraId="014E7695" w14:textId="77777777" w:rsidR="00B93FED" w:rsidRDefault="00000000">
      <w:pPr>
        <w:spacing w:after="160" w:line="312" w:lineRule="auto"/>
        <w:jc w:val="both"/>
      </w:pPr>
      <w:r>
        <w:t>Κάθε πηγή είναι δημόσια προσβάσιμη. Αριθμοί παραγράφων CFA: 6η έκδοση (2018), ISBN 978-92-2-131206-2.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B93FED" w14:paraId="66D093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7E71B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Πηγή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9BA66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Περιγραφή / URL</w:t>
            </w:r>
          </w:p>
        </w:tc>
      </w:tr>
      <w:tr w:rsidR="00B93FED" w14:paraId="0BDC82A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4DFE5" w14:textId="77777777" w:rsidR="00B93FED" w:rsidRDefault="00000000">
            <w:r>
              <w:rPr>
                <w:b/>
                <w:bCs/>
                <w:sz w:val="19"/>
                <w:szCs w:val="19"/>
              </w:rPr>
              <w:t>Σύμβαση ΔΟΕ 98 (1949)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E3BE5" w14:textId="77777777" w:rsidR="00B93FED" w:rsidRDefault="00000000">
            <w:r>
              <w:rPr>
                <w:sz w:val="19"/>
                <w:szCs w:val="19"/>
              </w:rPr>
              <w:t>Άρθρα 2§2, 3, 4. Κύρωση Κύπρου 1966. normlex.ilo.org</w:t>
            </w:r>
          </w:p>
        </w:tc>
      </w:tr>
      <w:tr w:rsidR="00B93FED" w14:paraId="3968BE7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D1EEE" w14:textId="77777777" w:rsidR="00B93FED" w:rsidRDefault="00000000">
            <w:r>
              <w:rPr>
                <w:b/>
                <w:bCs/>
                <w:sz w:val="19"/>
                <w:szCs w:val="19"/>
              </w:rPr>
              <w:t>Σύμβαση ΔΟΕ 151 (1978)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85745" w14:textId="77777777" w:rsidR="00B93FED" w:rsidRDefault="00000000">
            <w:r>
              <w:rPr>
                <w:sz w:val="19"/>
                <w:szCs w:val="19"/>
              </w:rPr>
              <w:t>Άρθρο 5§§1,3. Κύρωση με Ν.65/1980. normlex.ilo.org</w:t>
            </w:r>
          </w:p>
        </w:tc>
      </w:tr>
      <w:tr w:rsidR="00B93FED" w14:paraId="766262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0CC1B" w14:textId="77777777" w:rsidR="00B93FED" w:rsidRDefault="00000000">
            <w:r>
              <w:rPr>
                <w:b/>
                <w:bCs/>
                <w:sz w:val="19"/>
                <w:szCs w:val="19"/>
              </w:rPr>
              <w:t>ILO CFA, 6th Ed. (2018)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2E39A" w14:textId="77777777" w:rsidR="00B93FED" w:rsidRDefault="00000000">
            <w:r>
              <w:rPr>
                <w:sz w:val="19"/>
                <w:szCs w:val="19"/>
              </w:rPr>
              <w:t>ISBN 978-92-2-131206-2. §§680–682 (σ.134), §686 (σ.128), §§1188–1192 (σ.225), §§1213–1216 (σ.229), §1218 (σ.230)</w:t>
            </w:r>
          </w:p>
        </w:tc>
      </w:tr>
      <w:tr w:rsidR="00B93FED" w14:paraId="6B34F28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69F0F" w14:textId="77777777" w:rsidR="00B93FED" w:rsidRDefault="00000000">
            <w:r>
              <w:rPr>
                <w:b/>
                <w:bCs/>
                <w:sz w:val="19"/>
                <w:szCs w:val="19"/>
              </w:rPr>
              <w:t>Ν. 38(I)/2014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0CAE7" w14:textId="77777777" w:rsidR="00B93FED" w:rsidRDefault="00000000">
            <w:r>
              <w:rPr>
                <w:sz w:val="19"/>
                <w:szCs w:val="19"/>
              </w:rPr>
              <w:t>Λογιστική &amp; Δημοσιονομική Διαχείριση. Άρθρα 24–28. cylaw.org</w:t>
            </w:r>
          </w:p>
        </w:tc>
      </w:tr>
      <w:tr w:rsidR="00B93FED" w14:paraId="0EE99F6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A2E57" w14:textId="77777777" w:rsidR="00B93FED" w:rsidRDefault="00000000">
            <w:r>
              <w:rPr>
                <w:b/>
                <w:bCs/>
                <w:sz w:val="19"/>
                <w:szCs w:val="19"/>
              </w:rPr>
              <w:t>ΠΑΣΥΝΟ κατά Κ.Δ. (1994)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0AA14" w14:textId="77777777" w:rsidR="00B93FED" w:rsidRDefault="00000000">
            <w:r>
              <w:rPr>
                <w:sz w:val="19"/>
                <w:szCs w:val="19"/>
              </w:rPr>
              <w:t>4 ΑΑΔ 174. Δικαστής Γ.Π. Στυλιανίδης</w:t>
            </w:r>
          </w:p>
        </w:tc>
      </w:tr>
      <w:tr w:rsidR="00B93FED" w14:paraId="792936A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4051C" w14:textId="77777777" w:rsidR="00B93FED" w:rsidRDefault="00000000">
            <w:r>
              <w:rPr>
                <w:b/>
                <w:bCs/>
                <w:sz w:val="19"/>
                <w:szCs w:val="19"/>
              </w:rPr>
              <w:t>Straume v. Latvia (2022)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4D7D7" w14:textId="77777777" w:rsidR="00B93FED" w:rsidRDefault="00000000">
            <w:r>
              <w:rPr>
                <w:sz w:val="19"/>
                <w:szCs w:val="19"/>
              </w:rPr>
              <w:t>ΕΔΔΑ, App.No.59402/14. Άρ.11 ΕΣΔΑ. hudoc.echr.coe.int</w:t>
            </w:r>
          </w:p>
        </w:tc>
      </w:tr>
      <w:tr w:rsidR="00B93FED" w14:paraId="6F4EE6A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3C0C6" w14:textId="77777777" w:rsidR="00B93FED" w:rsidRDefault="00000000">
            <w:r>
              <w:rPr>
                <w:b/>
                <w:bCs/>
                <w:sz w:val="19"/>
                <w:szCs w:val="19"/>
              </w:rPr>
              <w:t>NLRB v. Yeshiva (1980)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746AC" w14:textId="77777777" w:rsidR="00B93FED" w:rsidRDefault="00000000">
            <w:r>
              <w:rPr>
                <w:sz w:val="19"/>
                <w:szCs w:val="19"/>
              </w:rPr>
              <w:t>444 U.S. 672. Justice Powell. supreme.justia.com</w:t>
            </w:r>
          </w:p>
        </w:tc>
      </w:tr>
      <w:tr w:rsidR="00B93FED" w14:paraId="27A37FD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4BC3D" w14:textId="77777777" w:rsidR="00B93FED" w:rsidRDefault="00000000">
            <w:r>
              <w:rPr>
                <w:b/>
                <w:bCs/>
                <w:sz w:val="19"/>
                <w:szCs w:val="19"/>
              </w:rPr>
              <w:t>Κρατ. Π/Υ 2017–2025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642F6" w14:textId="77777777" w:rsidR="00B93FED" w:rsidRDefault="00000000">
            <w:r>
              <w:rPr>
                <w:sz w:val="19"/>
                <w:szCs w:val="19"/>
              </w:rPr>
              <w:t>Ν18, Άρθρο 0401200092. gov.cy/treasury</w:t>
            </w:r>
          </w:p>
        </w:tc>
      </w:tr>
      <w:tr w:rsidR="00B93FED" w14:paraId="0C0DA4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BC527" w14:textId="77777777" w:rsidR="00B93FED" w:rsidRDefault="00000000">
            <w:r>
              <w:rPr>
                <w:b/>
                <w:bCs/>
                <w:sz w:val="19"/>
                <w:szCs w:val="19"/>
              </w:rPr>
              <w:t>Κλάδοι ΠΑΣΥΔΥ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73A8B" w14:textId="77777777" w:rsidR="00B93FED" w:rsidRDefault="00000000">
            <w:r>
              <w:rPr>
                <w:sz w:val="19"/>
                <w:szCs w:val="19"/>
              </w:rPr>
              <w:t>59ο Συνέδριο 11/04/2022. pasydy.org</w:t>
            </w:r>
          </w:p>
        </w:tc>
      </w:tr>
      <w:tr w:rsidR="00B93FED" w14:paraId="00E8C0A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9E5CE" w14:textId="77777777" w:rsidR="00B93FED" w:rsidRDefault="00000000">
            <w:r>
              <w:rPr>
                <w:b/>
                <w:bCs/>
                <w:sz w:val="19"/>
                <w:szCs w:val="19"/>
              </w:rPr>
              <w:t>TULRCA 1992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1B3BA" w14:textId="77777777" w:rsidR="00B93FED" w:rsidRDefault="00000000">
            <w:r>
              <w:rPr>
                <w:sz w:val="19"/>
                <w:szCs w:val="19"/>
              </w:rPr>
              <w:t>Section 5. legislation.gov.uk</w:t>
            </w:r>
          </w:p>
        </w:tc>
      </w:tr>
      <w:tr w:rsidR="00B93FED" w14:paraId="7BEBFE4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3046E" w14:textId="77777777" w:rsidR="00B93FED" w:rsidRDefault="00000000">
            <w:r>
              <w:rPr>
                <w:b/>
                <w:bCs/>
                <w:sz w:val="19"/>
                <w:szCs w:val="19"/>
              </w:rPr>
              <w:t>BetrVG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DDA49" w14:textId="77777777" w:rsidR="00B93FED" w:rsidRDefault="00000000">
            <w:r>
              <w:rPr>
                <w:sz w:val="19"/>
                <w:szCs w:val="19"/>
              </w:rPr>
              <w:t>§5(3). gesetze-im-internet.de</w:t>
            </w:r>
          </w:p>
        </w:tc>
      </w:tr>
    </w:tbl>
    <w:p w14:paraId="2787E3BC" w14:textId="77777777" w:rsidR="00B93FED" w:rsidRDefault="00000000">
      <w:r>
        <w:br w:type="page"/>
      </w:r>
    </w:p>
    <w:p w14:paraId="23385E44" w14:textId="77777777" w:rsidR="00B93FED" w:rsidRDefault="00000000">
      <w:pPr>
        <w:pStyle w:val="Heading1"/>
        <w:pBdr>
          <w:bottom w:val="single" w:sz="4" w:space="4" w:color="2E75B6"/>
        </w:pBdr>
      </w:pPr>
      <w:r>
        <w:lastRenderedPageBreak/>
        <w:t>Γλωσσάριο Συντομογραφιών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B93FED" w14:paraId="2112F1B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52EAB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Συντομογραφία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C3967" w14:textId="77777777" w:rsidR="00B93FED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Επεξήγηση</w:t>
            </w:r>
          </w:p>
        </w:tc>
      </w:tr>
      <w:tr w:rsidR="00B93FED" w14:paraId="53CD71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0F13E" w14:textId="77777777" w:rsidR="00B93FED" w:rsidRDefault="00000000">
            <w:r>
              <w:rPr>
                <w:b/>
                <w:bCs/>
                <w:sz w:val="19"/>
                <w:szCs w:val="19"/>
              </w:rPr>
              <w:t>ΠΑΣΥΔΥ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3D4F4" w14:textId="77777777" w:rsidR="00B93FED" w:rsidRDefault="00000000">
            <w:r>
              <w:rPr>
                <w:sz w:val="19"/>
                <w:szCs w:val="19"/>
              </w:rPr>
              <w:t>Παγκύπρια Συντεχνία Δημοσίων Υπαλλήλων</w:t>
            </w:r>
          </w:p>
        </w:tc>
      </w:tr>
      <w:tr w:rsidR="00B93FED" w14:paraId="419CC34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BB1B4" w14:textId="77777777" w:rsidR="00B93FED" w:rsidRDefault="00000000">
            <w:r>
              <w:rPr>
                <w:b/>
                <w:bCs/>
                <w:sz w:val="19"/>
                <w:szCs w:val="19"/>
              </w:rPr>
              <w:t>ΠΑΣΥΝΟ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CFE84" w14:textId="77777777" w:rsidR="00B93FED" w:rsidRDefault="00000000">
            <w:r>
              <w:rPr>
                <w:sz w:val="19"/>
                <w:szCs w:val="19"/>
              </w:rPr>
              <w:t>Παγκύπρια Συντεχνία Νοσοκόμων</w:t>
            </w:r>
          </w:p>
        </w:tc>
      </w:tr>
      <w:tr w:rsidR="00B93FED" w14:paraId="7D78C7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D4767" w14:textId="77777777" w:rsidR="00B93FED" w:rsidRDefault="00000000">
            <w:r>
              <w:rPr>
                <w:b/>
                <w:bCs/>
                <w:sz w:val="19"/>
                <w:szCs w:val="19"/>
              </w:rPr>
              <w:t>ΔΟΕ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8F982" w14:textId="77777777" w:rsidR="00B93FED" w:rsidRDefault="00000000">
            <w:r>
              <w:rPr>
                <w:sz w:val="19"/>
                <w:szCs w:val="19"/>
              </w:rPr>
              <w:t>Διεθνής Οργανισμός Εργασίας (ILO)</w:t>
            </w:r>
          </w:p>
        </w:tc>
      </w:tr>
      <w:tr w:rsidR="00B93FED" w14:paraId="1C780FD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683BB" w14:textId="77777777" w:rsidR="00B93FED" w:rsidRDefault="00000000">
            <w:r>
              <w:rPr>
                <w:b/>
                <w:bCs/>
                <w:sz w:val="19"/>
                <w:szCs w:val="19"/>
              </w:rPr>
              <w:t>CFA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85881" w14:textId="77777777" w:rsidR="00B93FED" w:rsidRDefault="00000000">
            <w:r>
              <w:rPr>
                <w:sz w:val="19"/>
                <w:szCs w:val="19"/>
              </w:rPr>
              <w:t>Επιτροπή Ελευθερίας Συνεταιρίζεσθαι</w:t>
            </w:r>
          </w:p>
        </w:tc>
      </w:tr>
      <w:tr w:rsidR="00B93FED" w14:paraId="2B330F4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4E082" w14:textId="77777777" w:rsidR="00B93FED" w:rsidRDefault="00000000">
            <w:r>
              <w:rPr>
                <w:b/>
                <w:bCs/>
                <w:sz w:val="19"/>
                <w:szCs w:val="19"/>
              </w:rPr>
              <w:t>CEACR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5AB8C" w14:textId="77777777" w:rsidR="00B93FED" w:rsidRDefault="00000000">
            <w:r>
              <w:rPr>
                <w:sz w:val="19"/>
                <w:szCs w:val="19"/>
              </w:rPr>
              <w:t>Επιτροπή Εμπειρογνωμόνων ΔΟΕ</w:t>
            </w:r>
          </w:p>
        </w:tc>
      </w:tr>
      <w:tr w:rsidR="00B93FED" w14:paraId="7ACC20B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DBC1B" w14:textId="77777777" w:rsidR="00B93FED" w:rsidRDefault="00000000">
            <w:r>
              <w:rPr>
                <w:b/>
                <w:bCs/>
                <w:sz w:val="19"/>
                <w:szCs w:val="19"/>
              </w:rPr>
              <w:t>ΕΔΔΑ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6432F" w14:textId="77777777" w:rsidR="00B93FED" w:rsidRDefault="00000000">
            <w:r>
              <w:rPr>
                <w:sz w:val="19"/>
                <w:szCs w:val="19"/>
              </w:rPr>
              <w:t>Ευρωπαϊκό Δικαστήριο Δικαιωμάτων Ανθρώπου</w:t>
            </w:r>
          </w:p>
        </w:tc>
      </w:tr>
      <w:tr w:rsidR="00B93FED" w14:paraId="77A45D6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FE0A1" w14:textId="77777777" w:rsidR="00B93FED" w:rsidRDefault="00000000">
            <w:r>
              <w:rPr>
                <w:b/>
                <w:bCs/>
                <w:sz w:val="19"/>
                <w:szCs w:val="19"/>
              </w:rPr>
              <w:t>ΕΣΔΑ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9335D" w14:textId="77777777" w:rsidR="00B93FED" w:rsidRDefault="00000000">
            <w:r>
              <w:rPr>
                <w:sz w:val="19"/>
                <w:szCs w:val="19"/>
              </w:rPr>
              <w:t>Ευρωπαϊκή Σύμβαση Δικαιωμάτων Ανθρώπου</w:t>
            </w:r>
          </w:p>
        </w:tc>
      </w:tr>
      <w:tr w:rsidR="00B93FED" w14:paraId="0FC9152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165D4" w14:textId="77777777" w:rsidR="00B93FED" w:rsidRDefault="00000000">
            <w:r>
              <w:rPr>
                <w:b/>
                <w:bCs/>
                <w:sz w:val="19"/>
                <w:szCs w:val="19"/>
              </w:rPr>
              <w:t>ΜΕΠ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C759F" w14:textId="77777777" w:rsidR="00B93FED" w:rsidRDefault="00000000">
            <w:r>
              <w:rPr>
                <w:sz w:val="19"/>
                <w:szCs w:val="19"/>
              </w:rPr>
              <w:t>Μικτή Επιτροπή Προσωπικού</w:t>
            </w:r>
          </w:p>
        </w:tc>
      </w:tr>
      <w:tr w:rsidR="00B93FED" w14:paraId="1116EFA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C4797" w14:textId="77777777" w:rsidR="00B93FED" w:rsidRDefault="00000000">
            <w:r>
              <w:rPr>
                <w:b/>
                <w:bCs/>
                <w:sz w:val="19"/>
                <w:szCs w:val="19"/>
              </w:rPr>
              <w:t>NLRB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332F7" w14:textId="77777777" w:rsidR="00B93FED" w:rsidRDefault="00000000">
            <w:r>
              <w:rPr>
                <w:sz w:val="19"/>
                <w:szCs w:val="19"/>
              </w:rPr>
              <w:t>National Labor Relations Board (ΗΠΑ)</w:t>
            </w:r>
          </w:p>
        </w:tc>
      </w:tr>
      <w:tr w:rsidR="00B93FED" w14:paraId="22C880C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546F7" w14:textId="77777777" w:rsidR="00B93FED" w:rsidRDefault="00000000">
            <w:r>
              <w:rPr>
                <w:b/>
                <w:bCs/>
                <w:sz w:val="19"/>
                <w:szCs w:val="19"/>
              </w:rPr>
              <w:t>BetrVG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05562" w14:textId="77777777" w:rsidR="00B93FED" w:rsidRDefault="00000000">
            <w:r>
              <w:rPr>
                <w:sz w:val="19"/>
                <w:szCs w:val="19"/>
              </w:rPr>
              <w:t>Betriebsverfassungsgesetz (Γερμανία)</w:t>
            </w:r>
          </w:p>
        </w:tc>
      </w:tr>
      <w:tr w:rsidR="00B93FED" w14:paraId="7537F43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0DC30" w14:textId="77777777" w:rsidR="00B93FED" w:rsidRDefault="00000000">
            <w:r>
              <w:rPr>
                <w:b/>
                <w:bCs/>
                <w:sz w:val="19"/>
                <w:szCs w:val="19"/>
              </w:rPr>
              <w:t>TULRCA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BD004" w14:textId="77777777" w:rsidR="00B93FED" w:rsidRDefault="00000000">
            <w:r>
              <w:rPr>
                <w:sz w:val="19"/>
                <w:szCs w:val="19"/>
              </w:rPr>
              <w:t>Trade Union &amp; Labour Relations Act 1992</w:t>
            </w:r>
          </w:p>
        </w:tc>
      </w:tr>
      <w:tr w:rsidR="00B93FED" w14:paraId="25FAB9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16B69" w14:textId="77777777" w:rsidR="00B93FED" w:rsidRDefault="00000000">
            <w:r>
              <w:rPr>
                <w:b/>
                <w:bCs/>
                <w:sz w:val="19"/>
                <w:szCs w:val="19"/>
              </w:rPr>
              <w:t>Yellow/Company Union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29A00" w14:textId="77777777" w:rsidR="00B93FED" w:rsidRDefault="00000000">
            <w:r>
              <w:rPr>
                <w:sz w:val="19"/>
                <w:szCs w:val="19"/>
              </w:rPr>
              <w:t>Κίτρινη Συντεχνία</w:t>
            </w:r>
          </w:p>
        </w:tc>
      </w:tr>
      <w:tr w:rsidR="00B93FED" w14:paraId="6E331CE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7A898" w14:textId="77777777" w:rsidR="00B93FED" w:rsidRDefault="00000000">
            <w:r>
              <w:rPr>
                <w:b/>
                <w:bCs/>
                <w:sz w:val="19"/>
                <w:szCs w:val="19"/>
              </w:rPr>
              <w:t>Ν.38(I)/2014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B9295" w14:textId="77777777" w:rsidR="00B93FED" w:rsidRDefault="00000000">
            <w:r>
              <w:rPr>
                <w:sz w:val="19"/>
                <w:szCs w:val="19"/>
              </w:rPr>
              <w:t>Λογιστική &amp; Δημοσιονομική Διαχείριση</w:t>
            </w:r>
          </w:p>
        </w:tc>
      </w:tr>
      <w:tr w:rsidR="00B93FED" w14:paraId="1BB4DA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94574" w14:textId="77777777" w:rsidR="00B93FED" w:rsidRDefault="00000000">
            <w:r>
              <w:rPr>
                <w:b/>
                <w:bCs/>
                <w:sz w:val="19"/>
                <w:szCs w:val="19"/>
              </w:rPr>
              <w:t>Chilling Effect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A4423" w14:textId="77777777" w:rsidR="00B93FED" w:rsidRDefault="00000000">
            <w:r>
              <w:rPr>
                <w:sz w:val="19"/>
                <w:szCs w:val="19"/>
              </w:rPr>
              <w:t>Αποθαρρυντικό αποτέλεσμα</w:t>
            </w:r>
          </w:p>
        </w:tc>
      </w:tr>
      <w:tr w:rsidR="00B93FED" w14:paraId="3682DF1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07DDB" w14:textId="77777777" w:rsidR="00B93FED" w:rsidRDefault="00000000">
            <w:r>
              <w:rPr>
                <w:b/>
                <w:bCs/>
                <w:sz w:val="19"/>
                <w:szCs w:val="19"/>
              </w:rPr>
              <w:t>Sham Bargaining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8DC93" w14:textId="77777777" w:rsidR="00B93FED" w:rsidRDefault="00000000">
            <w:r>
              <w:rPr>
                <w:sz w:val="19"/>
                <w:szCs w:val="19"/>
              </w:rPr>
              <w:t>Εικονική διαπραγμάτευση</w:t>
            </w:r>
          </w:p>
        </w:tc>
      </w:tr>
    </w:tbl>
    <w:p w14:paraId="55B4B67D" w14:textId="77777777" w:rsidR="000F20BE" w:rsidRDefault="000F20BE"/>
    <w:sectPr w:rsidR="000F20B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3A2F" w14:textId="77777777" w:rsidR="000F20BE" w:rsidRDefault="000F20BE">
      <w:r>
        <w:separator/>
      </w:r>
    </w:p>
  </w:endnote>
  <w:endnote w:type="continuationSeparator" w:id="0">
    <w:p w14:paraId="5B808530" w14:textId="77777777" w:rsidR="000F20BE" w:rsidRDefault="000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3B8C" w14:textId="77777777" w:rsidR="00B93FED" w:rsidRDefault="00000000">
    <w:pPr>
      <w:pBdr>
        <w:top w:val="single" w:sz="1" w:space="4" w:color="CCCCCC"/>
      </w:pBdr>
      <w:jc w:val="center"/>
    </w:pPr>
    <w:r>
      <w:rPr>
        <w:color w:val="888888"/>
        <w:sz w:val="16"/>
        <w:szCs w:val="16"/>
      </w:rPr>
      <w:t xml:space="preserve">Σελ.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65E7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6BBC" w14:textId="77777777" w:rsidR="000F20BE" w:rsidRDefault="000F20BE">
      <w:r>
        <w:separator/>
      </w:r>
    </w:p>
  </w:footnote>
  <w:footnote w:type="continuationSeparator" w:id="0">
    <w:p w14:paraId="44D67A76" w14:textId="77777777" w:rsidR="000F20BE" w:rsidRDefault="000F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761D" w14:textId="77777777" w:rsidR="00B93FED" w:rsidRDefault="00000000">
    <w:pPr>
      <w:pBdr>
        <w:bottom w:val="single" w:sz="2" w:space="4" w:color="2E75B6"/>
      </w:pBdr>
    </w:pPr>
    <w:r>
      <w:rPr>
        <w:i/>
        <w:iCs/>
        <w:color w:val="888888"/>
        <w:sz w:val="16"/>
        <w:szCs w:val="16"/>
      </w:rPr>
      <w:t>Η ΠΑΣΥΔΥ ως «Κίτρινη Συντεχνία»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0B05"/>
    <w:multiLevelType w:val="hybridMultilevel"/>
    <w:tmpl w:val="C23E7D34"/>
    <w:lvl w:ilvl="0" w:tplc="9A183382">
      <w:start w:val="1"/>
      <w:numFmt w:val="bullet"/>
      <w:lvlText w:val="●"/>
      <w:lvlJc w:val="left"/>
      <w:pPr>
        <w:ind w:left="720" w:hanging="360"/>
      </w:pPr>
    </w:lvl>
    <w:lvl w:ilvl="1" w:tplc="81900F4C">
      <w:start w:val="1"/>
      <w:numFmt w:val="bullet"/>
      <w:lvlText w:val="○"/>
      <w:lvlJc w:val="left"/>
      <w:pPr>
        <w:ind w:left="1440" w:hanging="360"/>
      </w:pPr>
    </w:lvl>
    <w:lvl w:ilvl="2" w:tplc="2CFE94FC">
      <w:start w:val="1"/>
      <w:numFmt w:val="bullet"/>
      <w:lvlText w:val="■"/>
      <w:lvlJc w:val="left"/>
      <w:pPr>
        <w:ind w:left="2160" w:hanging="360"/>
      </w:pPr>
    </w:lvl>
    <w:lvl w:ilvl="3" w:tplc="22AC634E">
      <w:start w:val="1"/>
      <w:numFmt w:val="bullet"/>
      <w:lvlText w:val="●"/>
      <w:lvlJc w:val="left"/>
      <w:pPr>
        <w:ind w:left="2880" w:hanging="360"/>
      </w:pPr>
    </w:lvl>
    <w:lvl w:ilvl="4" w:tplc="0BF2BDC4">
      <w:start w:val="1"/>
      <w:numFmt w:val="bullet"/>
      <w:lvlText w:val="○"/>
      <w:lvlJc w:val="left"/>
      <w:pPr>
        <w:ind w:left="3600" w:hanging="360"/>
      </w:pPr>
    </w:lvl>
    <w:lvl w:ilvl="5" w:tplc="9202D752">
      <w:start w:val="1"/>
      <w:numFmt w:val="bullet"/>
      <w:lvlText w:val="■"/>
      <w:lvlJc w:val="left"/>
      <w:pPr>
        <w:ind w:left="4320" w:hanging="360"/>
      </w:pPr>
    </w:lvl>
    <w:lvl w:ilvl="6" w:tplc="FAA4291A">
      <w:start w:val="1"/>
      <w:numFmt w:val="bullet"/>
      <w:lvlText w:val="●"/>
      <w:lvlJc w:val="left"/>
      <w:pPr>
        <w:ind w:left="5040" w:hanging="360"/>
      </w:pPr>
    </w:lvl>
    <w:lvl w:ilvl="7" w:tplc="4DDE92F0">
      <w:start w:val="1"/>
      <w:numFmt w:val="bullet"/>
      <w:lvlText w:val="●"/>
      <w:lvlJc w:val="left"/>
      <w:pPr>
        <w:ind w:left="5760" w:hanging="360"/>
      </w:pPr>
    </w:lvl>
    <w:lvl w:ilvl="8" w:tplc="6FB858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B218F3"/>
    <w:multiLevelType w:val="hybridMultilevel"/>
    <w:tmpl w:val="D48C7BE6"/>
    <w:lvl w:ilvl="0" w:tplc="938015C2">
      <w:start w:val="1"/>
      <w:numFmt w:val="decimal"/>
      <w:lvlText w:val="%1."/>
      <w:lvlJc w:val="left"/>
      <w:pPr>
        <w:ind w:left="720" w:hanging="360"/>
      </w:pPr>
    </w:lvl>
    <w:lvl w:ilvl="1" w:tplc="F97EFE94">
      <w:numFmt w:val="decimal"/>
      <w:lvlText w:val=""/>
      <w:lvlJc w:val="left"/>
    </w:lvl>
    <w:lvl w:ilvl="2" w:tplc="2C7AAD64">
      <w:numFmt w:val="decimal"/>
      <w:lvlText w:val=""/>
      <w:lvlJc w:val="left"/>
    </w:lvl>
    <w:lvl w:ilvl="3" w:tplc="6D62A646">
      <w:numFmt w:val="decimal"/>
      <w:lvlText w:val=""/>
      <w:lvlJc w:val="left"/>
    </w:lvl>
    <w:lvl w:ilvl="4" w:tplc="66AC2AE8">
      <w:numFmt w:val="decimal"/>
      <w:lvlText w:val=""/>
      <w:lvlJc w:val="left"/>
    </w:lvl>
    <w:lvl w:ilvl="5" w:tplc="8B0AA030">
      <w:numFmt w:val="decimal"/>
      <w:lvlText w:val=""/>
      <w:lvlJc w:val="left"/>
    </w:lvl>
    <w:lvl w:ilvl="6" w:tplc="FA96F0B0">
      <w:numFmt w:val="decimal"/>
      <w:lvlText w:val=""/>
      <w:lvlJc w:val="left"/>
    </w:lvl>
    <w:lvl w:ilvl="7" w:tplc="396EA3C4">
      <w:numFmt w:val="decimal"/>
      <w:lvlText w:val=""/>
      <w:lvlJc w:val="left"/>
    </w:lvl>
    <w:lvl w:ilvl="8" w:tplc="2FC88624">
      <w:numFmt w:val="decimal"/>
      <w:lvlText w:val=""/>
      <w:lvlJc w:val="left"/>
    </w:lvl>
  </w:abstractNum>
  <w:num w:numId="1" w16cid:durableId="1385983555">
    <w:abstractNumId w:val="0"/>
    <w:lvlOverride w:ilvl="0">
      <w:startOverride w:val="1"/>
    </w:lvlOverride>
  </w:num>
  <w:num w:numId="2" w16cid:durableId="20428999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ED"/>
    <w:rsid w:val="00050C2C"/>
    <w:rsid w:val="000F20BE"/>
    <w:rsid w:val="00361406"/>
    <w:rsid w:val="00365E72"/>
    <w:rsid w:val="00B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5718"/>
  <w15:docId w15:val="{E498CBFF-BF65-4212-B144-D3581E1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Prodromos Christofi</cp:lastModifiedBy>
  <cp:revision>2</cp:revision>
  <dcterms:created xsi:type="dcterms:W3CDTF">2026-04-07T10:18:00Z</dcterms:created>
  <dcterms:modified xsi:type="dcterms:W3CDTF">2026-04-07T10:18:00Z</dcterms:modified>
</cp:coreProperties>
</file>